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6B" w:rsidRDefault="00CB596B" w:rsidP="00CB596B">
      <w:pPr>
        <w:pStyle w:val="Default"/>
        <w:jc w:val="center"/>
        <w:rPr>
          <w:sz w:val="32"/>
        </w:rPr>
      </w:pPr>
      <w:r>
        <w:rPr>
          <w:sz w:val="32"/>
        </w:rPr>
        <w:t>Mealworm Investigation Notebook</w:t>
      </w:r>
    </w:p>
    <w:p w:rsidR="00CB596B" w:rsidRPr="00CB596B" w:rsidRDefault="00CB596B" w:rsidP="00CB596B">
      <w:pPr>
        <w:pStyle w:val="Default"/>
        <w:jc w:val="center"/>
        <w:rPr>
          <w:sz w:val="32"/>
        </w:rPr>
      </w:pPr>
    </w:p>
    <w:p w:rsidR="00CB596B" w:rsidRDefault="00CB596B" w:rsidP="00CB596B">
      <w:pPr>
        <w:pStyle w:val="Default"/>
        <w:rPr>
          <w:b/>
          <w:bCs/>
          <w:szCs w:val="20"/>
        </w:rPr>
      </w:pPr>
      <w:r w:rsidRPr="00CB596B">
        <w:rPr>
          <w:sz w:val="32"/>
        </w:rPr>
        <w:t xml:space="preserve"> </w:t>
      </w:r>
      <w:r w:rsidRPr="00CB596B">
        <w:rPr>
          <w:b/>
          <w:bCs/>
          <w:szCs w:val="20"/>
        </w:rPr>
        <w:t xml:space="preserve">Required assignments for all students: </w:t>
      </w:r>
    </w:p>
    <w:p w:rsidR="00CB596B" w:rsidRPr="00CB596B" w:rsidRDefault="00CB596B" w:rsidP="00CB596B">
      <w:pPr>
        <w:pStyle w:val="Default"/>
        <w:rPr>
          <w:szCs w:val="20"/>
        </w:rPr>
      </w:pPr>
    </w:p>
    <w:p w:rsidR="00CB596B" w:rsidRPr="00CB596B" w:rsidRDefault="00CB596B" w:rsidP="00CB596B">
      <w:pPr>
        <w:pStyle w:val="Default"/>
        <w:rPr>
          <w:sz w:val="22"/>
          <w:szCs w:val="20"/>
        </w:rPr>
      </w:pPr>
      <w:r w:rsidRPr="00CB596B">
        <w:rPr>
          <w:b/>
          <w:bCs/>
          <w:sz w:val="22"/>
          <w:szCs w:val="20"/>
        </w:rPr>
        <w:t>Directions for</w:t>
      </w:r>
      <w:r w:rsidRPr="00CB596B">
        <w:rPr>
          <w:b/>
          <w:bCs/>
          <w:sz w:val="22"/>
          <w:szCs w:val="20"/>
        </w:rPr>
        <w:t xml:space="preserve"> Investigation Notebook</w:t>
      </w:r>
      <w:r w:rsidRPr="00CB596B">
        <w:rPr>
          <w:sz w:val="22"/>
          <w:szCs w:val="20"/>
        </w:rPr>
        <w:t>: this will be completed during class. You will need to have a few sheets of graph paper, notebook paper, and colored pencils. The purpose of the notebook is for you to learn how</w:t>
      </w:r>
      <w:r w:rsidRPr="00CB596B">
        <w:rPr>
          <w:sz w:val="22"/>
          <w:szCs w:val="20"/>
        </w:rPr>
        <w:t xml:space="preserve"> to use</w:t>
      </w:r>
      <w:r w:rsidRPr="00CB596B">
        <w:rPr>
          <w:sz w:val="22"/>
          <w:szCs w:val="20"/>
        </w:rPr>
        <w:t xml:space="preserve"> data collection </w:t>
      </w:r>
      <w:r w:rsidRPr="00CB596B">
        <w:rPr>
          <w:sz w:val="22"/>
          <w:szCs w:val="20"/>
        </w:rPr>
        <w:t>and analysis skills in science</w:t>
      </w:r>
      <w:r w:rsidRPr="00CB596B">
        <w:rPr>
          <w:sz w:val="22"/>
          <w:szCs w:val="20"/>
        </w:rPr>
        <w:t xml:space="preserve">. We will monitor the lifecycle of mealworms in the classroom over a period of 6 weeks. The notebook will be scored with the rubric below. </w:t>
      </w:r>
    </w:p>
    <w:p w:rsidR="00CB596B" w:rsidRPr="00CB596B" w:rsidRDefault="00CB596B" w:rsidP="00CB596B">
      <w:pPr>
        <w:pStyle w:val="Default"/>
        <w:rPr>
          <w:szCs w:val="20"/>
        </w:rPr>
      </w:pPr>
    </w:p>
    <w:p w:rsidR="00CB596B" w:rsidRPr="00CB596B" w:rsidRDefault="00CB596B" w:rsidP="00CB596B">
      <w:pPr>
        <w:pStyle w:val="Default"/>
        <w:rPr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72"/>
        <w:gridCol w:w="1287"/>
        <w:gridCol w:w="1285"/>
        <w:gridCol w:w="2574"/>
      </w:tblGrid>
      <w:tr w:rsidR="00CB596B" w:rsidRPr="00CB596B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572" w:type="dxa"/>
          </w:tcPr>
          <w:p w:rsidR="00CB596B" w:rsidRDefault="00CB596B">
            <w:pPr>
              <w:pStyle w:val="Default"/>
              <w:rPr>
                <w:b/>
                <w:bCs/>
                <w:szCs w:val="20"/>
              </w:rPr>
            </w:pPr>
            <w:r w:rsidRPr="00CB596B">
              <w:rPr>
                <w:b/>
                <w:bCs/>
                <w:szCs w:val="20"/>
              </w:rPr>
              <w:t>Elements of Investigation Notebook Features</w:t>
            </w:r>
          </w:p>
          <w:p w:rsidR="00CB596B" w:rsidRPr="00CB596B" w:rsidRDefault="00CB596B">
            <w:pPr>
              <w:pStyle w:val="Default"/>
              <w:rPr>
                <w:szCs w:val="20"/>
              </w:rPr>
            </w:pPr>
            <w:r w:rsidRPr="00CB596B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2572" w:type="dxa"/>
            <w:gridSpan w:val="2"/>
          </w:tcPr>
          <w:p w:rsidR="00CB596B" w:rsidRPr="00CB596B" w:rsidRDefault="00CB596B">
            <w:pPr>
              <w:pStyle w:val="Default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        </w:t>
            </w:r>
            <w:r w:rsidRPr="00CB596B">
              <w:rPr>
                <w:b/>
                <w:bCs/>
                <w:szCs w:val="20"/>
              </w:rPr>
              <w:t xml:space="preserve">Possible points </w:t>
            </w:r>
          </w:p>
        </w:tc>
        <w:tc>
          <w:tcPr>
            <w:tcW w:w="2572" w:type="dxa"/>
          </w:tcPr>
          <w:p w:rsidR="00CB596B" w:rsidRPr="00CB596B" w:rsidRDefault="00CB596B">
            <w:pPr>
              <w:pStyle w:val="Default"/>
              <w:rPr>
                <w:szCs w:val="20"/>
              </w:rPr>
            </w:pPr>
            <w:r w:rsidRPr="00CB596B">
              <w:rPr>
                <w:b/>
                <w:bCs/>
                <w:szCs w:val="20"/>
              </w:rPr>
              <w:t xml:space="preserve">Points received </w:t>
            </w:r>
          </w:p>
        </w:tc>
      </w:tr>
      <w:tr w:rsidR="00CB596B" w:rsidRPr="00CB596B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859" w:type="dxa"/>
            <w:gridSpan w:val="2"/>
          </w:tcPr>
          <w:p w:rsidR="00CB596B" w:rsidRPr="00CB596B" w:rsidRDefault="00CB596B" w:rsidP="00CB596B">
            <w:r w:rsidRPr="00CB596B">
              <w:t xml:space="preserve">Date, location, topic, materials </w:t>
            </w:r>
          </w:p>
        </w:tc>
        <w:tc>
          <w:tcPr>
            <w:tcW w:w="3859" w:type="dxa"/>
            <w:gridSpan w:val="2"/>
          </w:tcPr>
          <w:p w:rsidR="00CB596B" w:rsidRPr="00CB596B" w:rsidRDefault="00CB596B" w:rsidP="00CB596B">
            <w:r w:rsidRPr="00CB596B">
              <w:t xml:space="preserve">5 </w:t>
            </w:r>
          </w:p>
        </w:tc>
      </w:tr>
      <w:tr w:rsidR="00CB596B" w:rsidRPr="00CB596B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859" w:type="dxa"/>
            <w:gridSpan w:val="2"/>
          </w:tcPr>
          <w:p w:rsidR="00CB596B" w:rsidRPr="00CB596B" w:rsidRDefault="00CB596B" w:rsidP="00CB596B">
            <w:r w:rsidRPr="00CB596B">
              <w:t xml:space="preserve">Team partner’s names </w:t>
            </w:r>
          </w:p>
        </w:tc>
        <w:tc>
          <w:tcPr>
            <w:tcW w:w="3859" w:type="dxa"/>
            <w:gridSpan w:val="2"/>
          </w:tcPr>
          <w:p w:rsidR="00CB596B" w:rsidRPr="00CB596B" w:rsidRDefault="00CB596B" w:rsidP="00CB596B">
            <w:r w:rsidRPr="00CB596B">
              <w:t xml:space="preserve">5 </w:t>
            </w:r>
          </w:p>
        </w:tc>
      </w:tr>
      <w:tr w:rsidR="00CB596B" w:rsidRPr="00CB596B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859" w:type="dxa"/>
            <w:gridSpan w:val="2"/>
          </w:tcPr>
          <w:p w:rsidR="00CB596B" w:rsidRPr="00CB596B" w:rsidRDefault="00CB596B" w:rsidP="00CB596B">
            <w:r w:rsidRPr="00CB596B">
              <w:t xml:space="preserve">Data as: technical drawings, photos, specimens </w:t>
            </w:r>
          </w:p>
        </w:tc>
        <w:tc>
          <w:tcPr>
            <w:tcW w:w="3859" w:type="dxa"/>
            <w:gridSpan w:val="2"/>
          </w:tcPr>
          <w:p w:rsidR="00CB596B" w:rsidRPr="00CB596B" w:rsidRDefault="00CB596B" w:rsidP="00CB596B">
            <w:r w:rsidRPr="00CB596B">
              <w:t xml:space="preserve">10 </w:t>
            </w:r>
          </w:p>
        </w:tc>
      </w:tr>
      <w:tr w:rsidR="00CB596B" w:rsidRPr="00CB596B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859" w:type="dxa"/>
            <w:gridSpan w:val="2"/>
          </w:tcPr>
          <w:p w:rsidR="00CB596B" w:rsidRPr="00CB596B" w:rsidRDefault="00CB596B" w:rsidP="00CB596B">
            <w:r w:rsidRPr="00CB596B">
              <w:t xml:space="preserve">Data as: graphs, charts, diagrams </w:t>
            </w:r>
          </w:p>
        </w:tc>
        <w:tc>
          <w:tcPr>
            <w:tcW w:w="3859" w:type="dxa"/>
            <w:gridSpan w:val="2"/>
          </w:tcPr>
          <w:p w:rsidR="00CB596B" w:rsidRPr="00CB596B" w:rsidRDefault="00CB596B" w:rsidP="00CB596B">
            <w:r w:rsidRPr="00CB596B">
              <w:t xml:space="preserve">10 </w:t>
            </w:r>
          </w:p>
        </w:tc>
      </w:tr>
      <w:tr w:rsidR="00CB596B" w:rsidRPr="00CB596B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859" w:type="dxa"/>
            <w:gridSpan w:val="2"/>
          </w:tcPr>
          <w:p w:rsidR="00CB596B" w:rsidRPr="00CB596B" w:rsidRDefault="00CB596B" w:rsidP="00CB596B">
            <w:r w:rsidRPr="00CB596B">
              <w:t xml:space="preserve">Qualitative data </w:t>
            </w:r>
          </w:p>
        </w:tc>
        <w:tc>
          <w:tcPr>
            <w:tcW w:w="3859" w:type="dxa"/>
            <w:gridSpan w:val="2"/>
          </w:tcPr>
          <w:p w:rsidR="00CB596B" w:rsidRPr="00CB596B" w:rsidRDefault="00CB596B" w:rsidP="00CB596B">
            <w:r w:rsidRPr="00CB596B">
              <w:t xml:space="preserve">10 </w:t>
            </w:r>
            <w:bookmarkStart w:id="0" w:name="_GoBack"/>
            <w:bookmarkEnd w:id="0"/>
          </w:p>
        </w:tc>
      </w:tr>
      <w:tr w:rsidR="00CB596B" w:rsidRPr="00CB596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859" w:type="dxa"/>
            <w:gridSpan w:val="2"/>
          </w:tcPr>
          <w:p w:rsidR="00CB596B" w:rsidRPr="00CB596B" w:rsidRDefault="00CB596B" w:rsidP="00CB596B">
            <w:r w:rsidRPr="00CB596B">
              <w:t xml:space="preserve">Table of contents, glossary, index, tabbed pages, numbered pages </w:t>
            </w:r>
          </w:p>
        </w:tc>
        <w:tc>
          <w:tcPr>
            <w:tcW w:w="3859" w:type="dxa"/>
            <w:gridSpan w:val="2"/>
          </w:tcPr>
          <w:p w:rsidR="00CB596B" w:rsidRPr="00CB596B" w:rsidRDefault="00CB596B" w:rsidP="00CB596B">
            <w:r w:rsidRPr="00CB596B">
              <w:t xml:space="preserve">10 </w:t>
            </w:r>
          </w:p>
        </w:tc>
      </w:tr>
      <w:tr w:rsidR="00CB596B" w:rsidRPr="00CB596B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859" w:type="dxa"/>
            <w:gridSpan w:val="2"/>
          </w:tcPr>
          <w:p w:rsidR="00CB596B" w:rsidRPr="00CB596B" w:rsidRDefault="00CB596B" w:rsidP="00CB596B">
            <w:r w:rsidRPr="00CB596B">
              <w:t xml:space="preserve">Questions for further inquiry </w:t>
            </w:r>
          </w:p>
        </w:tc>
        <w:tc>
          <w:tcPr>
            <w:tcW w:w="3859" w:type="dxa"/>
            <w:gridSpan w:val="2"/>
          </w:tcPr>
          <w:p w:rsidR="00CB596B" w:rsidRPr="00CB596B" w:rsidRDefault="00CB596B" w:rsidP="00CB596B">
            <w:r w:rsidRPr="00CB596B">
              <w:t xml:space="preserve">10 </w:t>
            </w:r>
          </w:p>
        </w:tc>
      </w:tr>
      <w:tr w:rsidR="00CB596B" w:rsidRPr="00CB596B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859" w:type="dxa"/>
            <w:gridSpan w:val="2"/>
          </w:tcPr>
          <w:p w:rsidR="00CB596B" w:rsidRPr="00CB596B" w:rsidRDefault="00CB596B" w:rsidP="00CB596B">
            <w:r w:rsidRPr="00CB596B">
              <w:t xml:space="preserve">Predictions </w:t>
            </w:r>
          </w:p>
        </w:tc>
        <w:tc>
          <w:tcPr>
            <w:tcW w:w="3859" w:type="dxa"/>
            <w:gridSpan w:val="2"/>
          </w:tcPr>
          <w:p w:rsidR="00CB596B" w:rsidRPr="00CB596B" w:rsidRDefault="00CB596B" w:rsidP="00CB596B">
            <w:r w:rsidRPr="00CB596B">
              <w:t xml:space="preserve">10 </w:t>
            </w:r>
          </w:p>
        </w:tc>
      </w:tr>
      <w:tr w:rsidR="00CB596B" w:rsidRPr="00CB596B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859" w:type="dxa"/>
            <w:gridSpan w:val="2"/>
          </w:tcPr>
          <w:p w:rsidR="00CB596B" w:rsidRPr="00CB596B" w:rsidRDefault="00CB596B" w:rsidP="00CB596B">
            <w:r w:rsidRPr="00CB596B">
              <w:t xml:space="preserve">Conclusions or explanations linked to evidence </w:t>
            </w:r>
          </w:p>
        </w:tc>
        <w:tc>
          <w:tcPr>
            <w:tcW w:w="3859" w:type="dxa"/>
            <w:gridSpan w:val="2"/>
          </w:tcPr>
          <w:p w:rsidR="00CB596B" w:rsidRPr="00CB596B" w:rsidRDefault="00CB596B" w:rsidP="00CB596B">
            <w:r w:rsidRPr="00CB596B">
              <w:t xml:space="preserve">10 </w:t>
            </w:r>
          </w:p>
        </w:tc>
      </w:tr>
      <w:tr w:rsidR="00CB596B" w:rsidRPr="00CB596B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859" w:type="dxa"/>
            <w:gridSpan w:val="2"/>
          </w:tcPr>
          <w:p w:rsidR="00CB596B" w:rsidRPr="00CB596B" w:rsidRDefault="00CB596B" w:rsidP="00CB596B">
            <w:r w:rsidRPr="00CB596B">
              <w:t xml:space="preserve">Reflections, revisions in original entries to reflect new learning </w:t>
            </w:r>
          </w:p>
        </w:tc>
        <w:tc>
          <w:tcPr>
            <w:tcW w:w="3859" w:type="dxa"/>
            <w:gridSpan w:val="2"/>
          </w:tcPr>
          <w:p w:rsidR="00CB596B" w:rsidRPr="00CB596B" w:rsidRDefault="00CB596B" w:rsidP="00CB596B">
            <w:r w:rsidRPr="00CB596B">
              <w:t xml:space="preserve">10 </w:t>
            </w:r>
          </w:p>
        </w:tc>
      </w:tr>
      <w:tr w:rsidR="00CB596B" w:rsidRPr="00CB596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859" w:type="dxa"/>
            <w:gridSpan w:val="2"/>
          </w:tcPr>
          <w:p w:rsidR="00CB596B" w:rsidRPr="00CB596B" w:rsidRDefault="00CB596B" w:rsidP="00CB596B">
            <w:r w:rsidRPr="00CB596B">
              <w:t xml:space="preserve">Use of color to indicate organization or enhance notes (highlighters, colored pens, etc.) </w:t>
            </w:r>
          </w:p>
        </w:tc>
        <w:tc>
          <w:tcPr>
            <w:tcW w:w="3859" w:type="dxa"/>
            <w:gridSpan w:val="2"/>
          </w:tcPr>
          <w:p w:rsidR="00CB596B" w:rsidRPr="00CB596B" w:rsidRDefault="00CB596B" w:rsidP="00CB596B">
            <w:r w:rsidRPr="00CB596B">
              <w:t xml:space="preserve">10 </w:t>
            </w:r>
          </w:p>
        </w:tc>
      </w:tr>
      <w:tr w:rsidR="00CB596B" w:rsidRPr="00CB596B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7718" w:type="dxa"/>
            <w:gridSpan w:val="4"/>
          </w:tcPr>
          <w:p w:rsidR="00CB596B" w:rsidRPr="00CB596B" w:rsidRDefault="00CB596B" w:rsidP="00CB596B">
            <w:r>
              <w:t>Other-                                                              B</w:t>
            </w:r>
            <w:r w:rsidRPr="00CB596B">
              <w:t xml:space="preserve">onus </w:t>
            </w:r>
          </w:p>
        </w:tc>
      </w:tr>
      <w:tr w:rsidR="00CB596B" w:rsidRPr="00CB596B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859" w:type="dxa"/>
            <w:gridSpan w:val="2"/>
          </w:tcPr>
          <w:p w:rsidR="00CB596B" w:rsidRPr="00CB596B" w:rsidRDefault="00CB596B" w:rsidP="00CB596B">
            <w:r>
              <w:t>T</w:t>
            </w:r>
            <w:r w:rsidRPr="00CB596B">
              <w:t xml:space="preserve">otal </w:t>
            </w:r>
          </w:p>
        </w:tc>
        <w:tc>
          <w:tcPr>
            <w:tcW w:w="3859" w:type="dxa"/>
            <w:gridSpan w:val="2"/>
          </w:tcPr>
          <w:p w:rsidR="00CB596B" w:rsidRPr="00CB596B" w:rsidRDefault="00CB596B" w:rsidP="00CB596B">
            <w:r w:rsidRPr="00CB596B">
              <w:t xml:space="preserve">100 </w:t>
            </w:r>
          </w:p>
        </w:tc>
      </w:tr>
    </w:tbl>
    <w:p w:rsidR="00CB596B" w:rsidRDefault="00CB596B" w:rsidP="00CB596B"/>
    <w:sectPr w:rsidR="00CB5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1F59"/>
    <w:multiLevelType w:val="multilevel"/>
    <w:tmpl w:val="C6F2C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64813"/>
    <w:multiLevelType w:val="multilevel"/>
    <w:tmpl w:val="70B8D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A1"/>
    <w:rsid w:val="001F18A1"/>
    <w:rsid w:val="00CB596B"/>
    <w:rsid w:val="00F3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">
    <w:name w:val="tx"/>
    <w:basedOn w:val="DefaultParagraphFont"/>
    <w:rsid w:val="00CB596B"/>
  </w:style>
  <w:style w:type="paragraph" w:customStyle="1" w:styleId="Default">
    <w:name w:val="Default"/>
    <w:rsid w:val="00CB59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">
    <w:name w:val="tx"/>
    <w:basedOn w:val="DefaultParagraphFont"/>
    <w:rsid w:val="00CB596B"/>
  </w:style>
  <w:style w:type="paragraph" w:customStyle="1" w:styleId="Default">
    <w:name w:val="Default"/>
    <w:rsid w:val="00CB59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Tinker</dc:creator>
  <cp:lastModifiedBy>Adam Tinker</cp:lastModifiedBy>
  <cp:revision>1</cp:revision>
  <cp:lastPrinted>2016-11-30T21:02:00Z</cp:lastPrinted>
  <dcterms:created xsi:type="dcterms:W3CDTF">2016-11-30T21:02:00Z</dcterms:created>
  <dcterms:modified xsi:type="dcterms:W3CDTF">2016-12-01T20:36:00Z</dcterms:modified>
</cp:coreProperties>
</file>